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Pr="006850C0" w:rsidRDefault="001E0A72" w:rsidP="006850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1025" cy="55901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испанс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Целевые значения критериев доступности и качества медицинской помощи в соответствии с Постановлением Правительства ХМАО-Югры от 28 декабря 2024 года № 567-п «О Территориальной программе государственных гарантий бесплатного оказания гражданам медицинской помощи в ХМАО-Югре на 2025 год и на плановый период 2026 и 2027 годов»</w:t>
      </w:r>
      <w:bookmarkStart w:id="0" w:name="_GoBack"/>
      <w:bookmarkEnd w:id="0"/>
      <w:r w:rsidR="006850C0" w:rsidRPr="006850C0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W w:w="89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743"/>
        <w:gridCol w:w="2172"/>
        <w:gridCol w:w="851"/>
        <w:gridCol w:w="851"/>
        <w:gridCol w:w="851"/>
      </w:tblGrid>
      <w:tr w:rsidR="006850C0" w:rsidRPr="006850C0" w:rsidTr="00C262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Целевое значение </w:t>
            </w:r>
          </w:p>
        </w:tc>
      </w:tr>
      <w:tr w:rsidR="006850C0" w:rsidRPr="006850C0" w:rsidTr="00C262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2027 год </w:t>
            </w:r>
          </w:p>
        </w:tc>
      </w:tr>
      <w:tr w:rsidR="006850C0" w:rsidRPr="006850C0" w:rsidTr="00C2626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I. Критерии доступности медицинской помощи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Удовлетворенность населения доступностью медицинской помощи, в том числе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процент от числа опрошенных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61,8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Городского населения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61,8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Сельского населения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60,6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61,8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1,6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0,75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0,75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86,0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75,0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85,0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85,0 </w:t>
            </w:r>
          </w:p>
        </w:tc>
      </w:tr>
      <w:tr w:rsidR="006850C0" w:rsidRPr="006850C0" w:rsidTr="00C2626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II. Критерии качества медицинской помощи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осмотрах, в том числе в ходе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2,4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2,6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0,31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злокачественными новообразованиями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14,6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стентирование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коронарных артерий, 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78,0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тромболизис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95,1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тромболитическая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94,3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95,1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68,0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тромболитическая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7,9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тромболитическая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терапия, в общем количестве пациентов с острым ишемическим инсультом, госпитализированных в ПСО и РСЦ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Не менее 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Доля пациентов, получающих лечебное (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энтеральное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) питание при оказании паллиативной медицинской помощи, в общем количестве пациентов, нуждающихся в лечебном (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энтеральном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) питании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73,0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лиц репродуктивного возраста, прошедших диспансеризацию для оценки репродуктивного здоровья женщин и мужчин в том числе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32,0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34,0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36,0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мужчин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14,3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женщин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18,3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21,7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</w:t>
            </w:r>
            <w:hyperlink r:id="rId6" w:history="1">
              <w:r w:rsidRPr="006850C0">
                <w:rPr>
                  <w:rFonts w:ascii="Calibri" w:eastAsia="Calibri" w:hAnsi="Calibri" w:cs="Times New Roman"/>
                  <w:color w:val="0563C1"/>
                  <w:sz w:val="28"/>
                  <w:szCs w:val="28"/>
                  <w:u w:val="single"/>
                </w:rPr>
                <w:t>рекомендаций</w:t>
              </w:r>
            </w:hyperlink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"Женское бесплодие"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число циклов ЭКО,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случаев экстракорпорального оплодотворения, по результатам которого у женщины наступила беременность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26,6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27,2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18,5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19,0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19,5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помощи, предоставляемой в ходе Территориальной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всего - не более 30, на отказ -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всего - не более 30, на отказ -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всего - не более 30, на отказ -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охват диспансерным наблюдением граждан, состоящих на учете в медицинской организации с диагнозом "бронхиальная астма",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процент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91,5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обструктивная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болезнь легких",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процент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87,5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88,5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35,6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36,5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охват диспансерным наблюдением граждан, состоящих на учете в медицинской организации с диагнозом "гипертоническая болезнь",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90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охват диспансерным наблюдением граждан, состоящих на учете в медицинской организации с диагнозом "сахарный диабет", процентов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количество пациентов с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гепатитом C, получивших противовирусную терапию,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единиц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75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энтеральное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) питание, из числа нуждающихся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100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80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Доля лиц старше 65 лет, которым проведена </w:t>
            </w:r>
            <w:proofErr w:type="spellStart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>противопневмококковая</w:t>
            </w:r>
            <w:proofErr w:type="spellEnd"/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 вакцинация (13-валентной и (или) 23-валентной вакциной)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55,5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60,0 </w:t>
            </w:r>
          </w:p>
        </w:tc>
      </w:tr>
      <w:tr w:rsidR="006850C0" w:rsidRPr="006850C0" w:rsidTr="00C2626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III. Критерии оценки эффективности деятельности медицинских организаций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Выполнение функции врачебной должности, всего в том числе в медицинских организациях: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число амбулаторных посещений в год на 1 занятую должность (без учета среднего медицинского персонала, занимающего врачебные должности)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расположенных в городской местности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3310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расположенных в сельской местности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3170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Среднегодовая занятость койки, всего в том числе в </w:t>
            </w: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медицинских организациях: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дней в году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330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в городской местности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333 </w:t>
            </w:r>
          </w:p>
        </w:tc>
      </w:tr>
      <w:tr w:rsidR="006850C0" w:rsidRPr="006850C0" w:rsidTr="00C26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в сельской местности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0C0" w:rsidRPr="006850C0" w:rsidRDefault="006850C0" w:rsidP="006850C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0C0">
              <w:rPr>
                <w:rFonts w:ascii="Calibri" w:eastAsia="Calibri" w:hAnsi="Calibri" w:cs="Times New Roman"/>
                <w:sz w:val="28"/>
                <w:szCs w:val="28"/>
              </w:rPr>
              <w:t xml:space="preserve">315 </w:t>
            </w:r>
          </w:p>
        </w:tc>
      </w:tr>
    </w:tbl>
    <w:p w:rsidR="006850C0" w:rsidRPr="006850C0" w:rsidRDefault="006850C0" w:rsidP="006850C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6850C0" w:rsidRPr="00EA4715" w:rsidRDefault="006850C0" w:rsidP="008E4F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6850C0" w:rsidRPr="00EA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B3F"/>
    <w:multiLevelType w:val="hybridMultilevel"/>
    <w:tmpl w:val="413C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87A8E"/>
    <w:multiLevelType w:val="multilevel"/>
    <w:tmpl w:val="BD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E6214"/>
    <w:multiLevelType w:val="hybridMultilevel"/>
    <w:tmpl w:val="DB6A1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1342A9"/>
    <w:multiLevelType w:val="hybridMultilevel"/>
    <w:tmpl w:val="1EFA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70FC"/>
    <w:multiLevelType w:val="hybridMultilevel"/>
    <w:tmpl w:val="C58A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4281"/>
    <w:multiLevelType w:val="hybridMultilevel"/>
    <w:tmpl w:val="0DDC2A42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67EF1384"/>
    <w:multiLevelType w:val="hybridMultilevel"/>
    <w:tmpl w:val="3440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B"/>
    <w:rsid w:val="000436E4"/>
    <w:rsid w:val="00060D0F"/>
    <w:rsid w:val="000B0503"/>
    <w:rsid w:val="000D78A0"/>
    <w:rsid w:val="001E0A72"/>
    <w:rsid w:val="0025683A"/>
    <w:rsid w:val="0031484D"/>
    <w:rsid w:val="0034595A"/>
    <w:rsid w:val="003928AE"/>
    <w:rsid w:val="00404B89"/>
    <w:rsid w:val="0045064B"/>
    <w:rsid w:val="00483955"/>
    <w:rsid w:val="004B4744"/>
    <w:rsid w:val="00604DC2"/>
    <w:rsid w:val="00645FAB"/>
    <w:rsid w:val="006850C0"/>
    <w:rsid w:val="007265E2"/>
    <w:rsid w:val="00744DEC"/>
    <w:rsid w:val="00750830"/>
    <w:rsid w:val="00753A03"/>
    <w:rsid w:val="007716A7"/>
    <w:rsid w:val="00823D2D"/>
    <w:rsid w:val="008E159F"/>
    <w:rsid w:val="008E4F09"/>
    <w:rsid w:val="0092727B"/>
    <w:rsid w:val="00A61DFE"/>
    <w:rsid w:val="00A9021B"/>
    <w:rsid w:val="00AE3CC1"/>
    <w:rsid w:val="00AE6AC2"/>
    <w:rsid w:val="00AF375B"/>
    <w:rsid w:val="00B258B8"/>
    <w:rsid w:val="00B4595E"/>
    <w:rsid w:val="00C8463B"/>
    <w:rsid w:val="00CE06C3"/>
    <w:rsid w:val="00CE407B"/>
    <w:rsid w:val="00D6446E"/>
    <w:rsid w:val="00E05FDC"/>
    <w:rsid w:val="00E065CB"/>
    <w:rsid w:val="00E466ED"/>
    <w:rsid w:val="00E569C1"/>
    <w:rsid w:val="00E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8204"/>
  <w15:docId w15:val="{39B5FCB9-2288-425F-9430-83FD8C88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3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536&amp;date=22.01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Колечкина Людмила Юрьевна</dc:creator>
  <cp:lastModifiedBy>Сафонова Анна Михайловна</cp:lastModifiedBy>
  <cp:revision>10</cp:revision>
  <cp:lastPrinted>2021-02-11T08:27:00Z</cp:lastPrinted>
  <dcterms:created xsi:type="dcterms:W3CDTF">2023-01-13T03:34:00Z</dcterms:created>
  <dcterms:modified xsi:type="dcterms:W3CDTF">2025-01-22T09:54:00Z</dcterms:modified>
</cp:coreProperties>
</file>